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3D9A" w14:textId="77777777" w:rsidR="00754023" w:rsidRDefault="00754023" w:rsidP="00E90401">
      <w:pPr>
        <w:rPr>
          <w:b/>
          <w:bCs/>
          <w:iCs/>
          <w:sz w:val="32"/>
          <w:szCs w:val="32"/>
        </w:rPr>
      </w:pPr>
    </w:p>
    <w:p w14:paraId="03E6C744" w14:textId="77777777" w:rsidR="00754023" w:rsidRDefault="00754023" w:rsidP="00E90401">
      <w:pPr>
        <w:rPr>
          <w:b/>
          <w:bCs/>
          <w:iCs/>
          <w:sz w:val="32"/>
          <w:szCs w:val="32"/>
        </w:rPr>
      </w:pPr>
    </w:p>
    <w:p w14:paraId="66F57181" w14:textId="2BA9F664" w:rsidR="00253719" w:rsidRDefault="00B171F2" w:rsidP="00E90401">
      <w:pPr>
        <w:rPr>
          <w:b/>
          <w:bCs/>
          <w:iCs/>
          <w:sz w:val="32"/>
          <w:szCs w:val="32"/>
        </w:rPr>
      </w:pPr>
      <w:r>
        <w:rPr>
          <w:b/>
          <w:bCs/>
          <w:iCs/>
          <w:sz w:val="32"/>
          <w:szCs w:val="32"/>
        </w:rPr>
        <w:t>EU-Strategie zur Anpassung an den Klimawandel</w:t>
      </w:r>
    </w:p>
    <w:p w14:paraId="53C3CC57" w14:textId="52CF4222" w:rsidR="002D3DAF" w:rsidRDefault="00B171F2" w:rsidP="00B171F2">
      <w:pPr>
        <w:spacing w:after="0" w:line="240" w:lineRule="auto"/>
        <w:rPr>
          <w:i/>
          <w:sz w:val="22"/>
        </w:rPr>
      </w:pPr>
      <w:r w:rsidRPr="00B171F2">
        <w:rPr>
          <w:i/>
          <w:sz w:val="22"/>
        </w:rPr>
        <w:t xml:space="preserve">Die </w:t>
      </w:r>
      <w:r>
        <w:rPr>
          <w:i/>
          <w:sz w:val="22"/>
        </w:rPr>
        <w:t>Anstrengungen des World Green Infrastructure Networks (WGIN) tragen Früchte:</w:t>
      </w:r>
    </w:p>
    <w:p w14:paraId="7522CAE9" w14:textId="40B971AE" w:rsidR="00B171F2" w:rsidRDefault="00B171F2" w:rsidP="00B171F2">
      <w:pPr>
        <w:spacing w:after="0" w:line="240" w:lineRule="auto"/>
        <w:rPr>
          <w:b/>
          <w:bCs/>
          <w:i/>
          <w:sz w:val="22"/>
        </w:rPr>
      </w:pPr>
      <w:r>
        <w:rPr>
          <w:i/>
          <w:sz w:val="22"/>
        </w:rPr>
        <w:t xml:space="preserve">Am 24. Februar 2021verabschiedete die EU-Kommission die neue </w:t>
      </w:r>
      <w:r w:rsidRPr="00B171F2">
        <w:rPr>
          <w:b/>
          <w:bCs/>
          <w:i/>
          <w:sz w:val="22"/>
        </w:rPr>
        <w:t>EU-Strategie zur Anpassung an den Klimawandel.</w:t>
      </w:r>
    </w:p>
    <w:p w14:paraId="254B07FD" w14:textId="4A7E3E57" w:rsidR="00A72FF8" w:rsidRDefault="00A72FF8" w:rsidP="00B171F2">
      <w:pPr>
        <w:spacing w:after="0" w:line="240" w:lineRule="auto"/>
        <w:rPr>
          <w:b/>
          <w:bCs/>
          <w:i/>
          <w:sz w:val="22"/>
        </w:rPr>
      </w:pPr>
    </w:p>
    <w:p w14:paraId="4F899BA3" w14:textId="52F30BD2" w:rsidR="00A72FF8" w:rsidRPr="00A72FF8" w:rsidRDefault="00A72FF8" w:rsidP="00A72FF8">
      <w:pPr>
        <w:pStyle w:val="StandardWeb"/>
        <w:rPr>
          <w:rFonts w:ascii="Trebuchet MS" w:hAnsi="Trebuchet MS"/>
          <w:b/>
          <w:bCs/>
          <w:sz w:val="22"/>
          <w:szCs w:val="22"/>
        </w:rPr>
      </w:pPr>
      <w:r w:rsidRPr="00A72FF8">
        <w:rPr>
          <w:rFonts w:ascii="Trebuchet MS" w:hAnsi="Trebuchet MS"/>
          <w:b/>
          <w:bCs/>
          <w:sz w:val="22"/>
          <w:szCs w:val="22"/>
        </w:rPr>
        <w:t>World Green Infrastructure Network (WGIN)</w:t>
      </w:r>
    </w:p>
    <w:p w14:paraId="3E278B92" w14:textId="27E89B34" w:rsidR="00A72FF8" w:rsidRDefault="00324325" w:rsidP="00A72FF8">
      <w:pPr>
        <w:pStyle w:val="StandardWeb"/>
        <w:rPr>
          <w:rFonts w:ascii="Trebuchet MS" w:hAnsi="Trebuchet MS"/>
          <w:sz w:val="22"/>
          <w:szCs w:val="22"/>
        </w:rPr>
      </w:pPr>
      <w:r>
        <w:rPr>
          <w:rFonts w:ascii="Trebuchet MS" w:hAnsi="Trebuchet MS"/>
          <w:sz w:val="22"/>
          <w:szCs w:val="22"/>
        </w:rPr>
        <w:t xml:space="preserve">Das </w:t>
      </w:r>
      <w:r w:rsidR="00A72FF8" w:rsidRPr="00667737">
        <w:rPr>
          <w:rFonts w:ascii="Trebuchet MS" w:hAnsi="Trebuchet MS"/>
          <w:sz w:val="22"/>
          <w:szCs w:val="22"/>
        </w:rPr>
        <w:t>WGIN wurde 2007 gegründet, um die wirtschaftlichen, ökologischen und sozialen Vorteile der städtischen Vegetation wie Gründächer zu fördern</w:t>
      </w:r>
      <w:r w:rsidR="00A72FF8">
        <w:rPr>
          <w:rFonts w:ascii="Trebuchet MS" w:hAnsi="Trebuchet MS"/>
          <w:sz w:val="22"/>
          <w:szCs w:val="22"/>
        </w:rPr>
        <w:t xml:space="preserve"> </w:t>
      </w:r>
      <w:r w:rsidR="00A72FF8" w:rsidRPr="00667737">
        <w:rPr>
          <w:rFonts w:ascii="Trebuchet MS" w:hAnsi="Trebuchet MS"/>
          <w:sz w:val="22"/>
          <w:szCs w:val="22"/>
        </w:rPr>
        <w:t>und dafür zu sensibilisieren.</w:t>
      </w:r>
      <w:r w:rsidR="00A72FF8">
        <w:rPr>
          <w:rFonts w:ascii="Trebuchet MS" w:hAnsi="Trebuchet MS"/>
          <w:sz w:val="22"/>
          <w:szCs w:val="22"/>
        </w:rPr>
        <w:t xml:space="preserve"> </w:t>
      </w:r>
      <w:r w:rsidR="00A72FF8" w:rsidRPr="00667737">
        <w:rPr>
          <w:rFonts w:ascii="Trebuchet MS" w:hAnsi="Trebuchet MS"/>
          <w:sz w:val="22"/>
          <w:szCs w:val="22"/>
        </w:rPr>
        <w:t>Im Jahr 2019 richtete WGIN ein EU-Kapitel ein, um Lobbyarbeit zu leisten und Ratschläge zu umweltfreundlichen Infrastrukturentwicklungen, technologischen Innovationen und unterstützenden Maßnahmen zu geben, um die Einbeziehung vegetativer Systeme in das europäische Stadtgefüge voranzutreiben.</w:t>
      </w:r>
    </w:p>
    <w:p w14:paraId="27602DB4" w14:textId="77777777" w:rsidR="00324325" w:rsidRPr="00667737" w:rsidRDefault="00324325" w:rsidP="00324325">
      <w:pPr>
        <w:pStyle w:val="StandardWeb"/>
        <w:rPr>
          <w:rFonts w:ascii="Trebuchet MS" w:hAnsi="Trebuchet MS"/>
          <w:sz w:val="22"/>
          <w:szCs w:val="22"/>
        </w:rPr>
      </w:pPr>
      <w:r>
        <w:rPr>
          <w:rFonts w:ascii="Trebuchet MS" w:hAnsi="Trebuchet MS"/>
          <w:sz w:val="22"/>
          <w:szCs w:val="22"/>
        </w:rPr>
        <w:t>Optigrün als „Corporate Member“ arbeitet in den verschiedenen Gremien des WGIN mit und trägt durch umfangreiche Erfahrungen im Bereich Dachbegrünung und Wasserbilanzsteuerung mit dazu bei, Lösungen innerhalb der EU zu erreichen, die eine lebenswerte Zukunft in den Städten ermöglicht.</w:t>
      </w:r>
    </w:p>
    <w:p w14:paraId="4584BF13" w14:textId="34BF7A1C" w:rsidR="006B037A" w:rsidRDefault="00B171F2" w:rsidP="005625AF">
      <w:pPr>
        <w:spacing w:after="0" w:line="300" w:lineRule="exact"/>
        <w:jc w:val="both"/>
        <w:rPr>
          <w:rFonts w:cstheme="majorHAnsi"/>
          <w:b/>
          <w:bCs/>
          <w:sz w:val="22"/>
        </w:rPr>
      </w:pPr>
      <w:r>
        <w:rPr>
          <w:rFonts w:cstheme="majorHAnsi"/>
          <w:b/>
          <w:bCs/>
          <w:sz w:val="22"/>
        </w:rPr>
        <w:t>Förderung naturbasierter Anpassungslösungen</w:t>
      </w:r>
    </w:p>
    <w:p w14:paraId="30BC4403" w14:textId="77777777" w:rsidR="00667737" w:rsidRDefault="00667737" w:rsidP="005625AF">
      <w:pPr>
        <w:spacing w:after="0" w:line="300" w:lineRule="exact"/>
        <w:jc w:val="both"/>
        <w:rPr>
          <w:rFonts w:cstheme="majorHAnsi"/>
          <w:b/>
          <w:bCs/>
          <w:sz w:val="22"/>
        </w:rPr>
      </w:pPr>
    </w:p>
    <w:p w14:paraId="5137609E" w14:textId="23D43BD5" w:rsidR="0008744B" w:rsidRDefault="0008744B" w:rsidP="00667737">
      <w:pPr>
        <w:spacing w:after="0" w:line="240" w:lineRule="auto"/>
        <w:jc w:val="both"/>
        <w:rPr>
          <w:rFonts w:cstheme="majorHAnsi"/>
          <w:sz w:val="22"/>
        </w:rPr>
      </w:pPr>
      <w:r>
        <w:rPr>
          <w:rFonts w:cstheme="majorHAnsi"/>
          <w:sz w:val="22"/>
        </w:rPr>
        <w:t xml:space="preserve">Ein wesentlicher Bestandteil </w:t>
      </w:r>
      <w:r w:rsidR="00D61255">
        <w:rPr>
          <w:rFonts w:cstheme="majorHAnsi"/>
          <w:sz w:val="22"/>
        </w:rPr>
        <w:t>neuen EU-</w:t>
      </w:r>
      <w:r>
        <w:rPr>
          <w:rFonts w:cstheme="majorHAnsi"/>
          <w:sz w:val="22"/>
        </w:rPr>
        <w:t>Strategie ist die Festlegung der Vorgehensweise im Hinblick auf die Auswirkungen des Klimawandels. I</w:t>
      </w:r>
      <w:r w:rsidR="00D61255">
        <w:rPr>
          <w:rFonts w:cstheme="majorHAnsi"/>
          <w:sz w:val="22"/>
        </w:rPr>
        <w:t>n diesem</w:t>
      </w:r>
      <w:r>
        <w:rPr>
          <w:rFonts w:cstheme="majorHAnsi"/>
          <w:sz w:val="22"/>
        </w:rPr>
        <w:t xml:space="preserve"> Rahmen werden die vielfältigen Vorteile von Gründächern explizit genannt</w:t>
      </w:r>
      <w:r w:rsidR="007A57D5">
        <w:rPr>
          <w:rFonts w:cstheme="majorHAnsi"/>
          <w:sz w:val="22"/>
        </w:rPr>
        <w:t xml:space="preserve"> und einbezogen</w:t>
      </w:r>
      <w:r>
        <w:rPr>
          <w:rFonts w:cstheme="majorHAnsi"/>
          <w:sz w:val="22"/>
        </w:rPr>
        <w:t>. So wird im Kapitel 2.2.4</w:t>
      </w:r>
      <w:r w:rsidR="007A57D5">
        <w:rPr>
          <w:rFonts w:cstheme="majorHAnsi"/>
          <w:sz w:val="22"/>
        </w:rPr>
        <w:t xml:space="preserve"> folgendes festgehalten:</w:t>
      </w:r>
    </w:p>
    <w:p w14:paraId="106CEE81" w14:textId="77777777" w:rsidR="007A57D5" w:rsidRDefault="007A57D5" w:rsidP="00667737">
      <w:pPr>
        <w:spacing w:after="0" w:line="240" w:lineRule="auto"/>
        <w:jc w:val="both"/>
        <w:rPr>
          <w:rFonts w:cstheme="majorHAnsi"/>
          <w:sz w:val="22"/>
        </w:rPr>
      </w:pPr>
    </w:p>
    <w:p w14:paraId="71C2AB0E" w14:textId="673E4282" w:rsidR="007A57D5" w:rsidRDefault="007A57D5" w:rsidP="00667737">
      <w:pPr>
        <w:pStyle w:val="HTMLVorformatiert"/>
        <w:rPr>
          <w:rFonts w:ascii="Trebuchet MS" w:hAnsi="Trebuchet MS"/>
          <w:sz w:val="22"/>
          <w:szCs w:val="22"/>
        </w:rPr>
      </w:pPr>
      <w:r>
        <w:rPr>
          <w:rFonts w:cstheme="majorHAnsi"/>
          <w:sz w:val="22"/>
        </w:rPr>
        <w:t>„</w:t>
      </w:r>
      <w:r w:rsidRPr="007A57D5">
        <w:rPr>
          <w:rFonts w:ascii="Trebuchet MS" w:hAnsi="Trebuchet MS"/>
          <w:sz w:val="22"/>
          <w:szCs w:val="22"/>
        </w:rPr>
        <w:t>Die Implementierung naturbasierter Lösungen in größerem Maßstab w</w:t>
      </w:r>
      <w:r>
        <w:rPr>
          <w:rFonts w:ascii="Trebuchet MS" w:hAnsi="Trebuchet MS"/>
          <w:sz w:val="22"/>
          <w:szCs w:val="22"/>
        </w:rPr>
        <w:t>ird</w:t>
      </w:r>
      <w:r w:rsidRPr="007A57D5">
        <w:rPr>
          <w:rFonts w:ascii="Trebuchet MS" w:hAnsi="Trebuchet MS"/>
          <w:sz w:val="22"/>
          <w:szCs w:val="22"/>
        </w:rPr>
        <w:t xml:space="preserve"> die Klimaresilienz erhöhen und zu mehreren Green-Deal-Zielen beitragen. Blau</w:t>
      </w:r>
      <w:r w:rsidR="00D61255">
        <w:rPr>
          <w:rFonts w:ascii="Trebuchet MS" w:hAnsi="Trebuchet MS"/>
          <w:sz w:val="22"/>
          <w:szCs w:val="22"/>
        </w:rPr>
        <w:t>-</w:t>
      </w:r>
      <w:r w:rsidRPr="007A57D5">
        <w:rPr>
          <w:rFonts w:ascii="Trebuchet MS" w:hAnsi="Trebuchet MS"/>
          <w:sz w:val="22"/>
          <w:szCs w:val="22"/>
        </w:rPr>
        <w:t>grüne (im Gegensatz zu grauen) Infrastrukturen sind Mehrzwecklösungen und bieten gleichzeitig ökologische und soziale Lösungen und wirtschaftliche Vorteile und tragen zum Aufbau der Klimaresilienz bei "</w:t>
      </w:r>
      <w:r>
        <w:rPr>
          <w:rFonts w:ascii="Trebuchet MS" w:hAnsi="Trebuchet MS"/>
          <w:sz w:val="22"/>
          <w:szCs w:val="22"/>
        </w:rPr>
        <w:t>.</w:t>
      </w:r>
    </w:p>
    <w:p w14:paraId="5A8A54E6" w14:textId="77777777" w:rsidR="00BF7650" w:rsidRDefault="00BF7650" w:rsidP="00667737">
      <w:pPr>
        <w:pStyle w:val="HTMLVorformatiert"/>
        <w:rPr>
          <w:rFonts w:ascii="Trebuchet MS" w:hAnsi="Trebuchet MS"/>
          <w:sz w:val="22"/>
          <w:szCs w:val="22"/>
        </w:rPr>
      </w:pPr>
    </w:p>
    <w:p w14:paraId="02154D65" w14:textId="309E4A9D" w:rsidR="00BF7650" w:rsidRDefault="00BF7650" w:rsidP="00BF7650">
      <w:pPr>
        <w:spacing w:after="0" w:line="240" w:lineRule="auto"/>
        <w:jc w:val="both"/>
        <w:rPr>
          <w:sz w:val="22"/>
        </w:rPr>
      </w:pPr>
      <w:r>
        <w:rPr>
          <w:rFonts w:cstheme="majorHAnsi"/>
          <w:sz w:val="22"/>
        </w:rPr>
        <w:t>….“</w:t>
      </w:r>
      <w:r w:rsidRPr="007A57D5">
        <w:rPr>
          <w:rFonts w:cstheme="majorHAnsi"/>
          <w:sz w:val="22"/>
        </w:rPr>
        <w:t>Europa</w:t>
      </w:r>
      <w:r w:rsidRPr="007A57D5">
        <w:rPr>
          <w:sz w:val="22"/>
        </w:rPr>
        <w:t xml:space="preserve"> muss </w:t>
      </w:r>
      <w:r>
        <w:rPr>
          <w:sz w:val="22"/>
        </w:rPr>
        <w:t xml:space="preserve">dazu </w:t>
      </w:r>
      <w:r w:rsidRPr="007A57D5">
        <w:rPr>
          <w:sz w:val="22"/>
        </w:rPr>
        <w:t>mehr Investitionen in naturbasierte Lösungen tätigen, um Gewinne für Anpassung, Minderung, Reduzierung des Katastrophenrisikos, biologische Vielfalt und Gesundheit zu erzielen</w:t>
      </w:r>
      <w:r>
        <w:rPr>
          <w:sz w:val="22"/>
        </w:rPr>
        <w:t xml:space="preserve">. </w:t>
      </w:r>
      <w:r>
        <w:rPr>
          <w:rFonts w:cstheme="majorHAnsi"/>
          <w:sz w:val="22"/>
        </w:rPr>
        <w:t xml:space="preserve">Hierzu sollen beispielsweise </w:t>
      </w:r>
      <w:r w:rsidR="00E60064">
        <w:rPr>
          <w:rFonts w:cstheme="majorHAnsi"/>
          <w:sz w:val="22"/>
        </w:rPr>
        <w:t>„</w:t>
      </w:r>
      <w:r>
        <w:rPr>
          <w:rFonts w:cstheme="majorHAnsi"/>
          <w:sz w:val="22"/>
        </w:rPr>
        <w:t>städtische Grünflächen und grüne Dächer und Fassaden weiterentwickelt und flächendeckend installiert werden</w:t>
      </w:r>
      <w:r w:rsidR="00E60064">
        <w:rPr>
          <w:rFonts w:cstheme="majorHAnsi"/>
          <w:sz w:val="22"/>
        </w:rPr>
        <w:t>“</w:t>
      </w:r>
      <w:r>
        <w:rPr>
          <w:rFonts w:cstheme="majorHAnsi"/>
          <w:sz w:val="22"/>
        </w:rPr>
        <w:t xml:space="preserve">. </w:t>
      </w:r>
    </w:p>
    <w:p w14:paraId="01C12339" w14:textId="0646DAA3" w:rsidR="00BF7650" w:rsidRDefault="00BF7650" w:rsidP="00BF7650">
      <w:pPr>
        <w:spacing w:after="0" w:line="240" w:lineRule="auto"/>
        <w:jc w:val="both"/>
        <w:rPr>
          <w:sz w:val="22"/>
        </w:rPr>
      </w:pPr>
      <w:r>
        <w:rPr>
          <w:sz w:val="22"/>
        </w:rPr>
        <w:t>Neue und innovative Finanzierungsansätze sollen eine gezielte Unterstützung hierbei bieten.</w:t>
      </w:r>
    </w:p>
    <w:p w14:paraId="2C84E7E6" w14:textId="77777777" w:rsidR="00BF7650" w:rsidRDefault="00BF7650" w:rsidP="00667737">
      <w:pPr>
        <w:pStyle w:val="HTMLVorformatiert"/>
        <w:rPr>
          <w:rFonts w:ascii="Trebuchet MS" w:hAnsi="Trebuchet MS"/>
          <w:sz w:val="22"/>
          <w:szCs w:val="22"/>
        </w:rPr>
      </w:pPr>
    </w:p>
    <w:p w14:paraId="3353D3A1" w14:textId="77777777" w:rsidR="007A57D5" w:rsidRPr="007A57D5" w:rsidRDefault="007A57D5" w:rsidP="00667737">
      <w:pPr>
        <w:pStyle w:val="HTMLVorformatiert"/>
        <w:rPr>
          <w:rFonts w:ascii="Trebuchet MS" w:hAnsi="Trebuchet MS"/>
          <w:sz w:val="22"/>
          <w:szCs w:val="22"/>
        </w:rPr>
      </w:pPr>
    </w:p>
    <w:p w14:paraId="6FC017EF" w14:textId="32708C85" w:rsidR="007A57D5" w:rsidRDefault="004E49F4" w:rsidP="00667737">
      <w:pPr>
        <w:spacing w:after="0" w:line="240" w:lineRule="auto"/>
        <w:jc w:val="both"/>
        <w:rPr>
          <w:sz w:val="22"/>
        </w:rPr>
      </w:pPr>
      <w:r>
        <w:rPr>
          <w:rFonts w:cstheme="majorHAnsi"/>
          <w:sz w:val="22"/>
        </w:rPr>
        <w:t>In die Praxis übersetzt bedeutet dies, dass i</w:t>
      </w:r>
      <w:r w:rsidR="00D61255">
        <w:rPr>
          <w:rFonts w:cstheme="majorHAnsi"/>
          <w:sz w:val="22"/>
        </w:rPr>
        <w:t>m Hinblick auf den Klimawandel und seine negativen Auswirkungen</w:t>
      </w:r>
      <w:r w:rsidR="003B0FA0">
        <w:rPr>
          <w:rFonts w:cstheme="majorHAnsi"/>
          <w:sz w:val="22"/>
        </w:rPr>
        <w:t xml:space="preserve"> (urbane Hitzeinseln, urbane Sturzfluten) die blau-</w:t>
      </w:r>
      <w:r w:rsidR="003B0FA0" w:rsidRPr="003B0FA0">
        <w:rPr>
          <w:rFonts w:cstheme="majorHAnsi"/>
          <w:sz w:val="22"/>
        </w:rPr>
        <w:t xml:space="preserve"> </w:t>
      </w:r>
      <w:r w:rsidR="003B0FA0">
        <w:rPr>
          <w:rFonts w:cstheme="majorHAnsi"/>
          <w:sz w:val="22"/>
        </w:rPr>
        <w:t>grüne Infrastruktur einen hohen Stellenwert ein</w:t>
      </w:r>
      <w:r>
        <w:rPr>
          <w:rFonts w:cstheme="majorHAnsi"/>
          <w:sz w:val="22"/>
        </w:rPr>
        <w:t>nehmen muß.</w:t>
      </w:r>
      <w:r w:rsidR="003B0FA0">
        <w:rPr>
          <w:rFonts w:cstheme="majorHAnsi"/>
          <w:sz w:val="22"/>
        </w:rPr>
        <w:t xml:space="preserve"> </w:t>
      </w:r>
      <w:r w:rsidR="00BF7650">
        <w:rPr>
          <w:rFonts w:cstheme="majorHAnsi"/>
          <w:sz w:val="22"/>
        </w:rPr>
        <w:t>I</w:t>
      </w:r>
      <w:r w:rsidR="003B0FA0">
        <w:rPr>
          <w:rFonts w:cstheme="majorHAnsi"/>
          <w:sz w:val="22"/>
        </w:rPr>
        <w:t>ntelligente</w:t>
      </w:r>
      <w:r w:rsidR="00BF7650">
        <w:rPr>
          <w:rFonts w:cstheme="majorHAnsi"/>
          <w:sz w:val="22"/>
        </w:rPr>
        <w:t>s</w:t>
      </w:r>
      <w:r w:rsidR="003B0FA0">
        <w:rPr>
          <w:rFonts w:cstheme="majorHAnsi"/>
          <w:sz w:val="22"/>
        </w:rPr>
        <w:t xml:space="preserve"> Regenwassermanagement </w:t>
      </w:r>
      <w:r w:rsidR="00BF7650">
        <w:rPr>
          <w:rFonts w:cstheme="majorHAnsi"/>
          <w:sz w:val="22"/>
        </w:rPr>
        <w:t>wie beispielsweise verschiedene Systemlösungen von Optigrün nutzen</w:t>
      </w:r>
      <w:r w:rsidR="003B0FA0">
        <w:rPr>
          <w:rFonts w:cstheme="majorHAnsi"/>
          <w:sz w:val="22"/>
        </w:rPr>
        <w:t xml:space="preserve"> die positiven Effekte der Verdunstung zur Kühlung der Umgebung. Ebenso kann ein geregelter Rückhalt des Niederschlags </w:t>
      </w:r>
      <w:r w:rsidR="00F91E3A">
        <w:rPr>
          <w:rFonts w:cstheme="majorHAnsi"/>
          <w:sz w:val="22"/>
        </w:rPr>
        <w:t xml:space="preserve">auf dem Dach </w:t>
      </w:r>
      <w:r w:rsidR="003B0FA0">
        <w:rPr>
          <w:rFonts w:cstheme="majorHAnsi"/>
          <w:sz w:val="22"/>
        </w:rPr>
        <w:t xml:space="preserve">bei Starkregen Überflutungen vermeiden. </w:t>
      </w:r>
    </w:p>
    <w:p w14:paraId="02CB7612" w14:textId="527D3866" w:rsidR="007A57D5" w:rsidRDefault="007A57D5" w:rsidP="007A57D5">
      <w:pPr>
        <w:spacing w:after="0" w:line="300" w:lineRule="exact"/>
        <w:jc w:val="both"/>
        <w:rPr>
          <w:sz w:val="22"/>
        </w:rPr>
      </w:pPr>
    </w:p>
    <w:p w14:paraId="1A16F980" w14:textId="77777777" w:rsidR="00E60064" w:rsidRDefault="00E60064" w:rsidP="007A57D5">
      <w:pPr>
        <w:spacing w:after="0" w:line="300" w:lineRule="exact"/>
        <w:jc w:val="both"/>
        <w:rPr>
          <w:b/>
          <w:bCs/>
          <w:sz w:val="22"/>
        </w:rPr>
      </w:pPr>
    </w:p>
    <w:p w14:paraId="28E9932D" w14:textId="43A13264" w:rsidR="007A57D5" w:rsidRDefault="007A57D5" w:rsidP="007A57D5">
      <w:pPr>
        <w:spacing w:after="0" w:line="300" w:lineRule="exact"/>
        <w:jc w:val="both"/>
        <w:rPr>
          <w:b/>
          <w:bCs/>
          <w:sz w:val="22"/>
        </w:rPr>
      </w:pPr>
      <w:r>
        <w:rPr>
          <w:b/>
          <w:bCs/>
          <w:sz w:val="22"/>
        </w:rPr>
        <w:lastRenderedPageBreak/>
        <w:t>Reduzierung des klimabedingten Risikos</w:t>
      </w:r>
    </w:p>
    <w:p w14:paraId="64EE0C2B" w14:textId="77777777" w:rsidR="00667737" w:rsidRPr="007A57D5" w:rsidRDefault="00667737" w:rsidP="007A57D5">
      <w:pPr>
        <w:spacing w:after="0" w:line="300" w:lineRule="exact"/>
        <w:jc w:val="both"/>
        <w:rPr>
          <w:b/>
          <w:bCs/>
          <w:sz w:val="22"/>
        </w:rPr>
      </w:pPr>
    </w:p>
    <w:p w14:paraId="0305E97E" w14:textId="651774D3" w:rsidR="00DE030E" w:rsidRDefault="007A57D5" w:rsidP="00667737">
      <w:pPr>
        <w:spacing w:after="0" w:line="240" w:lineRule="auto"/>
        <w:jc w:val="both"/>
        <w:rPr>
          <w:rFonts w:cstheme="majorHAnsi"/>
          <w:sz w:val="22"/>
        </w:rPr>
      </w:pPr>
      <w:r>
        <w:rPr>
          <w:rFonts w:cstheme="majorHAnsi"/>
          <w:sz w:val="22"/>
        </w:rPr>
        <w:t>Das Kapitel 2.3 befasst sich mit der Reduzierung des klimabedingten Risikos.</w:t>
      </w:r>
      <w:r w:rsidR="0057247C">
        <w:rPr>
          <w:rFonts w:cstheme="majorHAnsi"/>
          <w:sz w:val="22"/>
        </w:rPr>
        <w:t xml:space="preserve"> Urbane Sturzfluten und urbane Hitzeinseln als Folge des Klimawandels müssen soweit als möglich gemildert werden. So kündigte die Kommission an, die Einbeziehung von Überlegungen zur Klimaresilienz in die Kriterien für den </w:t>
      </w:r>
      <w:r w:rsidR="00667737">
        <w:rPr>
          <w:rFonts w:cstheme="majorHAnsi"/>
          <w:sz w:val="22"/>
        </w:rPr>
        <w:t>B</w:t>
      </w:r>
      <w:r w:rsidR="0057247C">
        <w:rPr>
          <w:rFonts w:cstheme="majorHAnsi"/>
          <w:sz w:val="22"/>
        </w:rPr>
        <w:t>au und Renovierung von Gebäuden zu unterstützen.</w:t>
      </w:r>
      <w:r w:rsidR="00DE030E">
        <w:rPr>
          <w:rFonts w:cstheme="majorHAnsi"/>
          <w:sz w:val="22"/>
        </w:rPr>
        <w:t xml:space="preserve"> </w:t>
      </w:r>
    </w:p>
    <w:p w14:paraId="4FE9B7C4" w14:textId="77777777" w:rsidR="004E49F4" w:rsidRDefault="004E49F4" w:rsidP="00667737">
      <w:pPr>
        <w:spacing w:after="0" w:line="240" w:lineRule="auto"/>
        <w:jc w:val="both"/>
        <w:rPr>
          <w:rFonts w:cstheme="majorHAnsi"/>
          <w:sz w:val="22"/>
        </w:rPr>
      </w:pPr>
    </w:p>
    <w:p w14:paraId="7457FE03" w14:textId="04BEBD08" w:rsidR="0057247C" w:rsidRDefault="00DE030E" w:rsidP="00667737">
      <w:pPr>
        <w:spacing w:after="0" w:line="240" w:lineRule="auto"/>
        <w:jc w:val="both"/>
        <w:rPr>
          <w:rFonts w:cstheme="majorHAnsi"/>
          <w:sz w:val="22"/>
        </w:rPr>
      </w:pPr>
      <w:r>
        <w:rPr>
          <w:rFonts w:cstheme="majorHAnsi"/>
          <w:sz w:val="22"/>
        </w:rPr>
        <w:t xml:space="preserve">Intelligente Lösungen gibt es hierbei schon seitens der Hersteller: Durch die Wiederherstellung der natürlichen Wasserbilanz könnten die negativen Auswirkungen des Klimawandels deutlich abgemildert werden. </w:t>
      </w:r>
      <w:r w:rsidR="00E60064">
        <w:rPr>
          <w:rFonts w:cstheme="majorHAnsi"/>
          <w:sz w:val="22"/>
        </w:rPr>
        <w:t>Ziel dabei ist es, dass Flächen im bebauten Zustand dieselbe Wasserbilanz aufweisen, wie sie im unbebauten, natürlichen Zustand gewesen wäre.</w:t>
      </w:r>
    </w:p>
    <w:p w14:paraId="71E47F5F" w14:textId="34F71898" w:rsidR="0057247C" w:rsidRDefault="0057247C" w:rsidP="00667737">
      <w:pPr>
        <w:spacing w:after="0" w:line="240" w:lineRule="auto"/>
        <w:jc w:val="both"/>
        <w:rPr>
          <w:rFonts w:cstheme="majorHAnsi"/>
          <w:sz w:val="22"/>
        </w:rPr>
      </w:pPr>
    </w:p>
    <w:p w14:paraId="0677588A" w14:textId="1CF1EFB0" w:rsidR="00667737" w:rsidRPr="00667737" w:rsidRDefault="00667737" w:rsidP="005625AF">
      <w:pPr>
        <w:spacing w:after="0" w:line="300" w:lineRule="exact"/>
        <w:jc w:val="both"/>
        <w:rPr>
          <w:rFonts w:cstheme="majorHAnsi"/>
          <w:b/>
          <w:bCs/>
          <w:sz w:val="22"/>
        </w:rPr>
      </w:pPr>
      <w:r w:rsidRPr="00667737">
        <w:rPr>
          <w:rFonts w:cstheme="majorHAnsi"/>
          <w:b/>
          <w:bCs/>
          <w:sz w:val="22"/>
        </w:rPr>
        <w:t>Erfolg für die Bemühungen und die Lobbyarbeit des WGIN</w:t>
      </w:r>
    </w:p>
    <w:p w14:paraId="56912972" w14:textId="16DD2B6A" w:rsidR="0057247C" w:rsidRDefault="00667737" w:rsidP="00667737">
      <w:pPr>
        <w:pStyle w:val="StandardWeb"/>
        <w:rPr>
          <w:rFonts w:ascii="Trebuchet MS" w:hAnsi="Trebuchet MS"/>
          <w:i/>
          <w:iCs/>
          <w:sz w:val="22"/>
          <w:szCs w:val="22"/>
        </w:rPr>
      </w:pPr>
      <w:r w:rsidRPr="00667737">
        <w:rPr>
          <w:rStyle w:val="Hervorhebung"/>
          <w:rFonts w:ascii="Trebuchet MS" w:hAnsi="Trebuchet MS"/>
          <w:i w:val="0"/>
          <w:iCs w:val="0"/>
          <w:sz w:val="22"/>
          <w:szCs w:val="22"/>
        </w:rPr>
        <w:t>„</w:t>
      </w:r>
      <w:r w:rsidR="0057247C" w:rsidRPr="00667737">
        <w:rPr>
          <w:rStyle w:val="Hervorhebung"/>
          <w:rFonts w:ascii="Trebuchet MS" w:hAnsi="Trebuchet MS"/>
          <w:i w:val="0"/>
          <w:iCs w:val="0"/>
          <w:sz w:val="22"/>
          <w:szCs w:val="22"/>
        </w:rPr>
        <w:t>Die Anerkennung der Vorteile von Gründächern und -wänden durch die Kommission für die Widerstandsfähigkeit Europas gegenüber dem Klimawandel ist eine hervorragende Nachricht für Bürger und Umwelt. Wir begrüßen diesen Ansatz sehr und hoffen, dass dies Regierungen und lokalen Verwaltungen auf der ganzen Welt als Inspiration dienen wird. Gründächer und -wände können die Bemühungen zur Klimaanpassung erheblich unterstützen, und als WGIN sind wir bereit, unseren Beitrag zu leisten</w:t>
      </w:r>
      <w:r w:rsidR="0057247C" w:rsidRPr="00667737">
        <w:rPr>
          <w:rFonts w:ascii="Trebuchet MS" w:hAnsi="Trebuchet MS"/>
          <w:i/>
          <w:iCs/>
          <w:sz w:val="22"/>
          <w:szCs w:val="22"/>
        </w:rPr>
        <w:t xml:space="preserve"> “, sagte </w:t>
      </w:r>
      <w:r w:rsidR="0057247C" w:rsidRPr="00667737">
        <w:rPr>
          <w:rStyle w:val="Fett"/>
          <w:rFonts w:ascii="Trebuchet MS" w:hAnsi="Trebuchet MS"/>
          <w:i/>
          <w:iCs/>
          <w:sz w:val="22"/>
          <w:szCs w:val="22"/>
        </w:rPr>
        <w:t>Prof. Manfred Koehler,</w:t>
      </w:r>
      <w:r w:rsidR="0057247C" w:rsidRPr="00667737">
        <w:rPr>
          <w:rFonts w:ascii="Trebuchet MS" w:hAnsi="Trebuchet MS"/>
          <w:i/>
          <w:iCs/>
          <w:sz w:val="22"/>
          <w:szCs w:val="22"/>
        </w:rPr>
        <w:t xml:space="preserve"> Präsident des World Green Infrastructure Network (WGIN).</w:t>
      </w:r>
    </w:p>
    <w:p w14:paraId="0D69A7A2" w14:textId="435B3D44" w:rsidR="0080706C" w:rsidRPr="00B171F2" w:rsidRDefault="0080706C" w:rsidP="0080706C">
      <w:pPr>
        <w:spacing w:line="300" w:lineRule="exact"/>
        <w:rPr>
          <w:rFonts w:cstheme="majorHAnsi"/>
          <w:sz w:val="22"/>
          <w:u w:val="single"/>
        </w:rPr>
      </w:pPr>
      <w:r w:rsidRPr="00B171F2">
        <w:rPr>
          <w:rFonts w:cstheme="majorHAnsi"/>
          <w:sz w:val="22"/>
          <w:u w:val="single"/>
        </w:rPr>
        <w:t>Pressekontakt:</w:t>
      </w:r>
    </w:p>
    <w:p w14:paraId="2950AC86" w14:textId="5DD1A541" w:rsidR="0080706C" w:rsidRPr="00B171F2" w:rsidRDefault="00935A7C" w:rsidP="0080706C">
      <w:pPr>
        <w:spacing w:after="80" w:line="300" w:lineRule="exact"/>
        <w:rPr>
          <w:rFonts w:cstheme="majorHAnsi"/>
          <w:b/>
          <w:sz w:val="22"/>
        </w:rPr>
      </w:pPr>
      <w:r w:rsidRPr="00B171F2">
        <w:rPr>
          <w:rFonts w:cstheme="majorHAnsi"/>
          <w:b/>
          <w:sz w:val="22"/>
        </w:rPr>
        <w:t>Ilona Nipp</w:t>
      </w:r>
      <w:r w:rsidR="0080706C" w:rsidRPr="00B171F2">
        <w:rPr>
          <w:rFonts w:cstheme="majorHAnsi"/>
          <w:b/>
          <w:sz w:val="22"/>
        </w:rPr>
        <w:tab/>
      </w:r>
    </w:p>
    <w:p w14:paraId="4F8B842D" w14:textId="2CEF6878" w:rsidR="00492C72" w:rsidRPr="00B171F2" w:rsidRDefault="0080706C" w:rsidP="0080706C">
      <w:pPr>
        <w:spacing w:after="80" w:line="300" w:lineRule="exact"/>
        <w:rPr>
          <w:rFonts w:cstheme="majorHAnsi"/>
          <w:sz w:val="22"/>
        </w:rPr>
      </w:pPr>
      <w:r w:rsidRPr="00B171F2">
        <w:rPr>
          <w:rFonts w:cstheme="majorHAnsi"/>
          <w:sz w:val="22"/>
        </w:rPr>
        <w:t>Marketingleiterin</w:t>
      </w:r>
    </w:p>
    <w:p w14:paraId="4C642560" w14:textId="52364852" w:rsidR="006B787E" w:rsidRPr="00B171F2" w:rsidRDefault="0080706C" w:rsidP="0080706C">
      <w:pPr>
        <w:spacing w:after="80" w:line="300" w:lineRule="exact"/>
        <w:rPr>
          <w:rFonts w:cstheme="majorHAnsi"/>
          <w:sz w:val="22"/>
        </w:rPr>
      </w:pPr>
      <w:r w:rsidRPr="00B171F2">
        <w:rPr>
          <w:rFonts w:cstheme="majorHAnsi"/>
          <w:sz w:val="22"/>
        </w:rPr>
        <w:t>Optigrün international AG</w:t>
      </w:r>
    </w:p>
    <w:p w14:paraId="39C01D8B" w14:textId="70666618" w:rsidR="006B787E" w:rsidRPr="00B171F2" w:rsidRDefault="006B787E" w:rsidP="0080706C">
      <w:pPr>
        <w:spacing w:after="80" w:line="300" w:lineRule="exact"/>
        <w:rPr>
          <w:rFonts w:cstheme="majorHAnsi"/>
          <w:sz w:val="22"/>
        </w:rPr>
      </w:pPr>
      <w:r w:rsidRPr="00B171F2">
        <w:rPr>
          <w:rFonts w:cstheme="majorHAnsi"/>
          <w:sz w:val="22"/>
        </w:rPr>
        <w:t>Am Birkenstock 15-19</w:t>
      </w:r>
    </w:p>
    <w:p w14:paraId="16F74CC6" w14:textId="213E928D" w:rsidR="0080706C" w:rsidRPr="00B171F2" w:rsidRDefault="006B787E" w:rsidP="0080706C">
      <w:pPr>
        <w:spacing w:after="80" w:line="300" w:lineRule="exact"/>
        <w:rPr>
          <w:rFonts w:cstheme="majorHAnsi"/>
          <w:sz w:val="22"/>
        </w:rPr>
      </w:pPr>
      <w:r w:rsidRPr="00B171F2">
        <w:rPr>
          <w:rFonts w:cstheme="majorHAnsi"/>
          <w:sz w:val="22"/>
        </w:rPr>
        <w:t>72505 Krauchenwies-Göggingen</w:t>
      </w:r>
      <w:r w:rsidR="0080706C" w:rsidRPr="00B171F2">
        <w:rPr>
          <w:rFonts w:cstheme="majorHAnsi"/>
          <w:sz w:val="22"/>
        </w:rPr>
        <w:tab/>
      </w:r>
    </w:p>
    <w:p w14:paraId="28491555" w14:textId="0F68CCC8" w:rsidR="0080706C" w:rsidRPr="00B171F2" w:rsidRDefault="0080706C" w:rsidP="0080706C">
      <w:pPr>
        <w:spacing w:after="80" w:line="300" w:lineRule="exact"/>
        <w:rPr>
          <w:rFonts w:cstheme="majorHAnsi"/>
          <w:sz w:val="22"/>
        </w:rPr>
      </w:pPr>
      <w:r w:rsidRPr="00B171F2">
        <w:rPr>
          <w:rFonts w:cstheme="majorHAnsi"/>
          <w:sz w:val="22"/>
        </w:rPr>
        <w:t>Tel. +49 7576 772 1</w:t>
      </w:r>
      <w:r w:rsidR="00935A7C" w:rsidRPr="00B171F2">
        <w:rPr>
          <w:rFonts w:cstheme="majorHAnsi"/>
          <w:sz w:val="22"/>
        </w:rPr>
        <w:t>13</w:t>
      </w:r>
      <w:r w:rsidRPr="00B171F2">
        <w:rPr>
          <w:rFonts w:cstheme="majorHAnsi"/>
          <w:sz w:val="22"/>
        </w:rPr>
        <w:tab/>
      </w:r>
      <w:r w:rsidRPr="00B171F2">
        <w:rPr>
          <w:rFonts w:cstheme="majorHAnsi"/>
          <w:sz w:val="22"/>
        </w:rPr>
        <w:tab/>
      </w:r>
      <w:r w:rsidRPr="00B171F2">
        <w:rPr>
          <w:rFonts w:cstheme="majorHAnsi"/>
          <w:sz w:val="22"/>
        </w:rPr>
        <w:tab/>
      </w:r>
    </w:p>
    <w:p w14:paraId="16C429B6" w14:textId="03CE73A4" w:rsidR="0080706C" w:rsidRDefault="006C212D" w:rsidP="00935A7C">
      <w:pPr>
        <w:spacing w:after="80" w:line="300" w:lineRule="exact"/>
        <w:ind w:right="-483"/>
        <w:rPr>
          <w:rFonts w:cstheme="majorHAnsi"/>
          <w:sz w:val="22"/>
        </w:rPr>
      </w:pPr>
      <w:hyperlink r:id="rId7" w:history="1">
        <w:r w:rsidR="000C7769" w:rsidRPr="009F01D4">
          <w:rPr>
            <w:rStyle w:val="Hyperlink"/>
            <w:rFonts w:cstheme="majorHAnsi"/>
            <w:sz w:val="22"/>
          </w:rPr>
          <w:t>i.nipp@optigruen.de</w:t>
        </w:r>
      </w:hyperlink>
    </w:p>
    <w:p w14:paraId="34970409" w14:textId="5CBBF8BA" w:rsidR="000C7769" w:rsidRDefault="000C7769" w:rsidP="00935A7C">
      <w:pPr>
        <w:spacing w:after="80" w:line="300" w:lineRule="exact"/>
        <w:ind w:right="-483"/>
        <w:rPr>
          <w:rFonts w:cstheme="majorHAnsi"/>
          <w:sz w:val="22"/>
        </w:rPr>
      </w:pPr>
      <w:r>
        <w:rPr>
          <w:rFonts w:cstheme="majorHAnsi"/>
          <w:sz w:val="22"/>
        </w:rPr>
        <w:t>www.optigrün.de</w:t>
      </w:r>
    </w:p>
    <w:p w14:paraId="523F7609" w14:textId="3241E318" w:rsidR="000C7769" w:rsidRDefault="0086466D" w:rsidP="00935A7C">
      <w:pPr>
        <w:spacing w:after="80" w:line="300" w:lineRule="exact"/>
        <w:ind w:right="-483"/>
        <w:rPr>
          <w:rFonts w:cstheme="majorHAnsi"/>
          <w:sz w:val="22"/>
        </w:rPr>
      </w:pPr>
      <w:r>
        <w:rPr>
          <w:rFonts w:cstheme="majorHAnsi"/>
          <w:noProof/>
          <w:sz w:val="22"/>
        </w:rPr>
        <w:drawing>
          <wp:anchor distT="0" distB="0" distL="114300" distR="114300" simplePos="0" relativeHeight="251658240" behindDoc="1" locked="0" layoutInCell="1" allowOverlap="1" wp14:anchorId="6F9DE6BD" wp14:editId="6952BD11">
            <wp:simplePos x="0" y="0"/>
            <wp:positionH relativeFrom="column">
              <wp:posOffset>-8890</wp:posOffset>
            </wp:positionH>
            <wp:positionV relativeFrom="paragraph">
              <wp:posOffset>64770</wp:posOffset>
            </wp:positionV>
            <wp:extent cx="3295650" cy="2575768"/>
            <wp:effectExtent l="19050" t="19050" r="19050" b="152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650" cy="2575768"/>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2E9214F2" w14:textId="77777777" w:rsidR="00460AE7" w:rsidRDefault="00460AE7" w:rsidP="00460AE7">
      <w:pPr>
        <w:spacing w:after="80" w:line="300" w:lineRule="exact"/>
        <w:ind w:right="-483"/>
        <w:rPr>
          <w:rFonts w:cstheme="majorHAnsi"/>
          <w:sz w:val="22"/>
        </w:rPr>
      </w:pPr>
      <w:r>
        <w:rPr>
          <w:rFonts w:cstheme="majorHAnsi"/>
          <w:sz w:val="22"/>
        </w:rPr>
        <w:tab/>
      </w:r>
      <w:r>
        <w:rPr>
          <w:rFonts w:cstheme="majorHAnsi"/>
          <w:sz w:val="22"/>
        </w:rPr>
        <w:tab/>
      </w:r>
      <w:r>
        <w:rPr>
          <w:rFonts w:cstheme="majorHAnsi"/>
          <w:sz w:val="22"/>
        </w:rPr>
        <w:tab/>
      </w:r>
      <w:r>
        <w:rPr>
          <w:rFonts w:cstheme="majorHAnsi"/>
          <w:sz w:val="22"/>
        </w:rPr>
        <w:tab/>
      </w:r>
      <w:r>
        <w:rPr>
          <w:rFonts w:cstheme="majorHAnsi"/>
          <w:sz w:val="22"/>
        </w:rPr>
        <w:tab/>
      </w:r>
      <w:r>
        <w:rPr>
          <w:rFonts w:cstheme="majorHAnsi"/>
          <w:sz w:val="22"/>
        </w:rPr>
        <w:tab/>
      </w:r>
      <w:r>
        <w:rPr>
          <w:rFonts w:cstheme="majorHAnsi"/>
          <w:sz w:val="22"/>
        </w:rPr>
        <w:tab/>
      </w:r>
      <w:r>
        <w:rPr>
          <w:rFonts w:cstheme="majorHAnsi"/>
          <w:sz w:val="22"/>
        </w:rPr>
        <w:tab/>
      </w:r>
      <w:r>
        <w:rPr>
          <w:rFonts w:cstheme="majorHAnsi"/>
          <w:sz w:val="22"/>
        </w:rPr>
        <w:t>Bildunterschrift:</w:t>
      </w:r>
    </w:p>
    <w:p w14:paraId="353A5325" w14:textId="77777777" w:rsidR="00460AE7" w:rsidRDefault="00460AE7" w:rsidP="00460AE7">
      <w:pPr>
        <w:spacing w:after="80" w:line="300" w:lineRule="exact"/>
        <w:ind w:left="5664" w:right="-483"/>
        <w:rPr>
          <w:rFonts w:cstheme="majorHAnsi"/>
          <w:sz w:val="22"/>
        </w:rPr>
      </w:pPr>
      <w:r>
        <w:rPr>
          <w:rFonts w:cstheme="majorHAnsi"/>
          <w:sz w:val="22"/>
        </w:rPr>
        <w:t>Natur hat Zukunft – Mit der Kompetenz von Experten</w:t>
      </w:r>
    </w:p>
    <w:p w14:paraId="19947402" w14:textId="77777777" w:rsidR="00460AE7" w:rsidRPr="00B171F2" w:rsidRDefault="00460AE7" w:rsidP="00460AE7">
      <w:pPr>
        <w:spacing w:after="80" w:line="300" w:lineRule="exact"/>
        <w:ind w:left="4956" w:right="-483" w:firstLine="708"/>
        <w:rPr>
          <w:rFonts w:cstheme="majorHAnsi"/>
          <w:sz w:val="22"/>
        </w:rPr>
      </w:pPr>
      <w:r>
        <w:rPr>
          <w:rFonts w:cstheme="majorHAnsi"/>
          <w:sz w:val="22"/>
        </w:rPr>
        <w:t>Quelle: Optigrün</w:t>
      </w:r>
    </w:p>
    <w:p w14:paraId="1C1874A6" w14:textId="6F3321BA" w:rsidR="000C7769" w:rsidRDefault="000C7769" w:rsidP="00935A7C">
      <w:pPr>
        <w:spacing w:after="80" w:line="300" w:lineRule="exact"/>
        <w:ind w:right="-483"/>
        <w:rPr>
          <w:rFonts w:cstheme="majorHAnsi"/>
          <w:sz w:val="22"/>
        </w:rPr>
      </w:pPr>
    </w:p>
    <w:p w14:paraId="565D1B83" w14:textId="4CF54A81" w:rsidR="0086466D" w:rsidRDefault="0086466D" w:rsidP="00935A7C">
      <w:pPr>
        <w:spacing w:after="80" w:line="300" w:lineRule="exact"/>
        <w:ind w:right="-483"/>
        <w:rPr>
          <w:rFonts w:cstheme="majorHAnsi"/>
          <w:sz w:val="22"/>
        </w:rPr>
      </w:pPr>
    </w:p>
    <w:p w14:paraId="79380F80" w14:textId="76B79D21" w:rsidR="0086466D" w:rsidRDefault="0086466D" w:rsidP="00935A7C">
      <w:pPr>
        <w:spacing w:after="80" w:line="300" w:lineRule="exact"/>
        <w:ind w:right="-483"/>
        <w:rPr>
          <w:rFonts w:cstheme="majorHAnsi"/>
          <w:sz w:val="22"/>
        </w:rPr>
      </w:pPr>
    </w:p>
    <w:p w14:paraId="7D13F019" w14:textId="00EEEBB1" w:rsidR="0086466D" w:rsidRDefault="0086466D" w:rsidP="00935A7C">
      <w:pPr>
        <w:spacing w:after="80" w:line="300" w:lineRule="exact"/>
        <w:ind w:right="-483"/>
        <w:rPr>
          <w:rFonts w:cstheme="majorHAnsi"/>
          <w:sz w:val="22"/>
        </w:rPr>
      </w:pPr>
    </w:p>
    <w:p w14:paraId="68D49B79" w14:textId="3F5D5750" w:rsidR="0086466D" w:rsidRDefault="0086466D" w:rsidP="00935A7C">
      <w:pPr>
        <w:spacing w:after="80" w:line="300" w:lineRule="exact"/>
        <w:ind w:right="-483"/>
        <w:rPr>
          <w:rFonts w:cstheme="majorHAnsi"/>
          <w:sz w:val="22"/>
        </w:rPr>
      </w:pPr>
    </w:p>
    <w:p w14:paraId="7AEB5BA5" w14:textId="3227C300" w:rsidR="0086466D" w:rsidRDefault="0086466D" w:rsidP="00935A7C">
      <w:pPr>
        <w:spacing w:after="80" w:line="300" w:lineRule="exact"/>
        <w:ind w:right="-483"/>
        <w:rPr>
          <w:rFonts w:cstheme="majorHAnsi"/>
          <w:sz w:val="22"/>
        </w:rPr>
      </w:pPr>
    </w:p>
    <w:p w14:paraId="388E018F" w14:textId="3ADEAA2F" w:rsidR="0086466D" w:rsidRDefault="0086466D" w:rsidP="00935A7C">
      <w:pPr>
        <w:spacing w:after="80" w:line="300" w:lineRule="exact"/>
        <w:ind w:right="-483"/>
        <w:rPr>
          <w:rFonts w:cstheme="majorHAnsi"/>
          <w:sz w:val="22"/>
        </w:rPr>
      </w:pPr>
    </w:p>
    <w:sectPr w:rsidR="0086466D" w:rsidSect="00284CBF">
      <w:headerReference w:type="default" r:id="rId9"/>
      <w:footerReference w:type="default" r:id="rId10"/>
      <w:pgSz w:w="11906" w:h="16838" w:code="9"/>
      <w:pgMar w:top="1701" w:right="1304" w:bottom="1134" w:left="1304" w:header="709" w:footer="45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D500" w14:textId="77777777" w:rsidR="006C212D" w:rsidRDefault="006C212D" w:rsidP="00595323">
      <w:pPr>
        <w:spacing w:after="0" w:line="240" w:lineRule="auto"/>
      </w:pPr>
      <w:r>
        <w:separator/>
      </w:r>
    </w:p>
  </w:endnote>
  <w:endnote w:type="continuationSeparator" w:id="0">
    <w:p w14:paraId="5CF1696E" w14:textId="77777777" w:rsidR="006C212D" w:rsidRDefault="006C212D" w:rsidP="005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E145" w14:textId="0118EF8A" w:rsidR="00B32595" w:rsidRDefault="00DF689B" w:rsidP="0006412A">
    <w:pPr>
      <w:pStyle w:val="Fuzeile"/>
      <w:jc w:val="right"/>
    </w:pPr>
    <w:r>
      <w:rPr>
        <w:noProof/>
        <w:lang w:eastAsia="de-DE"/>
      </w:rPr>
      <w:drawing>
        <wp:anchor distT="0" distB="0" distL="114300" distR="114300" simplePos="0" relativeHeight="251663360" behindDoc="1" locked="1" layoutInCell="1" allowOverlap="1" wp14:anchorId="7C1F06DC" wp14:editId="4D571245">
          <wp:simplePos x="0" y="0"/>
          <wp:positionH relativeFrom="column">
            <wp:posOffset>-814705</wp:posOffset>
          </wp:positionH>
          <wp:positionV relativeFrom="page">
            <wp:posOffset>9785350</wp:posOffset>
          </wp:positionV>
          <wp:extent cx="7559675" cy="88138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Fus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13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0A29" w14:textId="77777777" w:rsidR="006C212D" w:rsidRDefault="006C212D" w:rsidP="00595323">
      <w:pPr>
        <w:spacing w:after="0" w:line="240" w:lineRule="auto"/>
      </w:pPr>
      <w:r>
        <w:separator/>
      </w:r>
    </w:p>
  </w:footnote>
  <w:footnote w:type="continuationSeparator" w:id="0">
    <w:p w14:paraId="57FE2DAD" w14:textId="77777777" w:rsidR="006C212D" w:rsidRDefault="006C212D" w:rsidP="0059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ADB9" w14:textId="77777777" w:rsidR="00595323" w:rsidRDefault="0080706C">
    <w:pPr>
      <w:pStyle w:val="Kopfzeile"/>
    </w:pPr>
    <w:r>
      <w:rPr>
        <w:noProof/>
        <w:lang w:eastAsia="de-DE"/>
      </w:rPr>
      <w:drawing>
        <wp:anchor distT="0" distB="0" distL="114300" distR="114300" simplePos="0" relativeHeight="251664384" behindDoc="0" locked="0" layoutInCell="1" allowOverlap="1" wp14:anchorId="55941BC7" wp14:editId="2DFA731E">
          <wp:simplePos x="0" y="0"/>
          <wp:positionH relativeFrom="column">
            <wp:posOffset>-818845</wp:posOffset>
          </wp:positionH>
          <wp:positionV relativeFrom="paragraph">
            <wp:posOffset>-439420</wp:posOffset>
          </wp:positionV>
          <wp:extent cx="7560000" cy="953741"/>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top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7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80CA2"/>
    <w:multiLevelType w:val="hybridMultilevel"/>
    <w:tmpl w:val="48A674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A1"/>
    <w:rsid w:val="00031603"/>
    <w:rsid w:val="00034F6C"/>
    <w:rsid w:val="000412A1"/>
    <w:rsid w:val="00047806"/>
    <w:rsid w:val="000530E6"/>
    <w:rsid w:val="0006412A"/>
    <w:rsid w:val="000759CC"/>
    <w:rsid w:val="00083EC8"/>
    <w:rsid w:val="00084ADD"/>
    <w:rsid w:val="0008744B"/>
    <w:rsid w:val="000931AB"/>
    <w:rsid w:val="000C681F"/>
    <w:rsid w:val="000C7769"/>
    <w:rsid w:val="000C7D1C"/>
    <w:rsid w:val="000F192E"/>
    <w:rsid w:val="000F64D3"/>
    <w:rsid w:val="00100953"/>
    <w:rsid w:val="00103458"/>
    <w:rsid w:val="001249E4"/>
    <w:rsid w:val="00134011"/>
    <w:rsid w:val="001455D8"/>
    <w:rsid w:val="00150536"/>
    <w:rsid w:val="00155676"/>
    <w:rsid w:val="001666E0"/>
    <w:rsid w:val="0017278A"/>
    <w:rsid w:val="00172913"/>
    <w:rsid w:val="00176A6E"/>
    <w:rsid w:val="001A3BA1"/>
    <w:rsid w:val="001D6EE6"/>
    <w:rsid w:val="001E0799"/>
    <w:rsid w:val="00200247"/>
    <w:rsid w:val="002230E1"/>
    <w:rsid w:val="0023186D"/>
    <w:rsid w:val="00235319"/>
    <w:rsid w:val="00244D46"/>
    <w:rsid w:val="00246FE0"/>
    <w:rsid w:val="00250067"/>
    <w:rsid w:val="00253719"/>
    <w:rsid w:val="00254FC4"/>
    <w:rsid w:val="00284CBF"/>
    <w:rsid w:val="002D3DAF"/>
    <w:rsid w:val="002F11C4"/>
    <w:rsid w:val="0030069F"/>
    <w:rsid w:val="003016D0"/>
    <w:rsid w:val="00303B72"/>
    <w:rsid w:val="003079CE"/>
    <w:rsid w:val="00310267"/>
    <w:rsid w:val="00324325"/>
    <w:rsid w:val="00331019"/>
    <w:rsid w:val="003459EE"/>
    <w:rsid w:val="00364838"/>
    <w:rsid w:val="00376B46"/>
    <w:rsid w:val="00390D35"/>
    <w:rsid w:val="003B0FA0"/>
    <w:rsid w:val="003E7377"/>
    <w:rsid w:val="0040480F"/>
    <w:rsid w:val="00460AE7"/>
    <w:rsid w:val="00464141"/>
    <w:rsid w:val="00471C72"/>
    <w:rsid w:val="00472DF6"/>
    <w:rsid w:val="00473D8C"/>
    <w:rsid w:val="00492C72"/>
    <w:rsid w:val="00497847"/>
    <w:rsid w:val="004A79A6"/>
    <w:rsid w:val="004E49F4"/>
    <w:rsid w:val="00504156"/>
    <w:rsid w:val="00506A71"/>
    <w:rsid w:val="00512E8E"/>
    <w:rsid w:val="00542E6E"/>
    <w:rsid w:val="0055460E"/>
    <w:rsid w:val="0055537D"/>
    <w:rsid w:val="005625AF"/>
    <w:rsid w:val="0057247C"/>
    <w:rsid w:val="005754A6"/>
    <w:rsid w:val="00577A62"/>
    <w:rsid w:val="0058002E"/>
    <w:rsid w:val="00582856"/>
    <w:rsid w:val="00584E26"/>
    <w:rsid w:val="00595323"/>
    <w:rsid w:val="005A274D"/>
    <w:rsid w:val="005B48C0"/>
    <w:rsid w:val="005F2C4B"/>
    <w:rsid w:val="005F3C4B"/>
    <w:rsid w:val="005F6F20"/>
    <w:rsid w:val="00600B16"/>
    <w:rsid w:val="00600D58"/>
    <w:rsid w:val="00604DC1"/>
    <w:rsid w:val="0060546B"/>
    <w:rsid w:val="00633743"/>
    <w:rsid w:val="00644299"/>
    <w:rsid w:val="00667737"/>
    <w:rsid w:val="00677CB3"/>
    <w:rsid w:val="00692523"/>
    <w:rsid w:val="006A1555"/>
    <w:rsid w:val="006A78E1"/>
    <w:rsid w:val="006B037A"/>
    <w:rsid w:val="006B4B0E"/>
    <w:rsid w:val="006B787E"/>
    <w:rsid w:val="006C212D"/>
    <w:rsid w:val="006C558B"/>
    <w:rsid w:val="006D72F6"/>
    <w:rsid w:val="006F60D3"/>
    <w:rsid w:val="0071340F"/>
    <w:rsid w:val="00714FEA"/>
    <w:rsid w:val="00720984"/>
    <w:rsid w:val="00726C2D"/>
    <w:rsid w:val="0074352F"/>
    <w:rsid w:val="00750111"/>
    <w:rsid w:val="00754023"/>
    <w:rsid w:val="0075644B"/>
    <w:rsid w:val="00756EC4"/>
    <w:rsid w:val="00763536"/>
    <w:rsid w:val="007873A6"/>
    <w:rsid w:val="007A57D5"/>
    <w:rsid w:val="007B7D51"/>
    <w:rsid w:val="007D53FC"/>
    <w:rsid w:val="007E177C"/>
    <w:rsid w:val="007E71E3"/>
    <w:rsid w:val="00801E6E"/>
    <w:rsid w:val="0080342C"/>
    <w:rsid w:val="00803CAC"/>
    <w:rsid w:val="00806C9D"/>
    <w:rsid w:val="0080706C"/>
    <w:rsid w:val="00833794"/>
    <w:rsid w:val="008361B0"/>
    <w:rsid w:val="00842D95"/>
    <w:rsid w:val="00844894"/>
    <w:rsid w:val="0085556B"/>
    <w:rsid w:val="0086466D"/>
    <w:rsid w:val="00871F7A"/>
    <w:rsid w:val="00884846"/>
    <w:rsid w:val="00887E18"/>
    <w:rsid w:val="008D4DC4"/>
    <w:rsid w:val="008F41FF"/>
    <w:rsid w:val="008F6AB1"/>
    <w:rsid w:val="00935A7C"/>
    <w:rsid w:val="00941F26"/>
    <w:rsid w:val="00952F51"/>
    <w:rsid w:val="00970DAF"/>
    <w:rsid w:val="00980777"/>
    <w:rsid w:val="00981754"/>
    <w:rsid w:val="0099730B"/>
    <w:rsid w:val="009A06FE"/>
    <w:rsid w:val="009A3349"/>
    <w:rsid w:val="009E10D6"/>
    <w:rsid w:val="009F0793"/>
    <w:rsid w:val="009F08B7"/>
    <w:rsid w:val="00A24F99"/>
    <w:rsid w:val="00A42C47"/>
    <w:rsid w:val="00A4383A"/>
    <w:rsid w:val="00A53EAA"/>
    <w:rsid w:val="00A568DD"/>
    <w:rsid w:val="00A56EA3"/>
    <w:rsid w:val="00A612FA"/>
    <w:rsid w:val="00A66321"/>
    <w:rsid w:val="00A703A2"/>
    <w:rsid w:val="00A72FF8"/>
    <w:rsid w:val="00A95CE3"/>
    <w:rsid w:val="00AA3593"/>
    <w:rsid w:val="00AA4B40"/>
    <w:rsid w:val="00AB2D15"/>
    <w:rsid w:val="00AD04D1"/>
    <w:rsid w:val="00AD79A2"/>
    <w:rsid w:val="00AE415B"/>
    <w:rsid w:val="00AE52AF"/>
    <w:rsid w:val="00AE6EC8"/>
    <w:rsid w:val="00AF091E"/>
    <w:rsid w:val="00B171F2"/>
    <w:rsid w:val="00B32595"/>
    <w:rsid w:val="00B33DB3"/>
    <w:rsid w:val="00B42A78"/>
    <w:rsid w:val="00B52524"/>
    <w:rsid w:val="00B66B89"/>
    <w:rsid w:val="00B7295F"/>
    <w:rsid w:val="00B748A3"/>
    <w:rsid w:val="00B761A2"/>
    <w:rsid w:val="00BA5C41"/>
    <w:rsid w:val="00BA60B8"/>
    <w:rsid w:val="00BB468A"/>
    <w:rsid w:val="00BB4DF0"/>
    <w:rsid w:val="00BC32E2"/>
    <w:rsid w:val="00BD2682"/>
    <w:rsid w:val="00BD6BE2"/>
    <w:rsid w:val="00BF7650"/>
    <w:rsid w:val="00C03FBE"/>
    <w:rsid w:val="00C0482A"/>
    <w:rsid w:val="00C06AEA"/>
    <w:rsid w:val="00C1639B"/>
    <w:rsid w:val="00C20553"/>
    <w:rsid w:val="00C31FB0"/>
    <w:rsid w:val="00C339D4"/>
    <w:rsid w:val="00C36FE2"/>
    <w:rsid w:val="00C37C01"/>
    <w:rsid w:val="00C54D97"/>
    <w:rsid w:val="00C56ED7"/>
    <w:rsid w:val="00C80AE9"/>
    <w:rsid w:val="00C94364"/>
    <w:rsid w:val="00CA0841"/>
    <w:rsid w:val="00CB6BDE"/>
    <w:rsid w:val="00CD38F4"/>
    <w:rsid w:val="00D13CEB"/>
    <w:rsid w:val="00D1402B"/>
    <w:rsid w:val="00D262C6"/>
    <w:rsid w:val="00D61255"/>
    <w:rsid w:val="00D632CA"/>
    <w:rsid w:val="00D67732"/>
    <w:rsid w:val="00D70F50"/>
    <w:rsid w:val="00D76DA9"/>
    <w:rsid w:val="00D86229"/>
    <w:rsid w:val="00D87473"/>
    <w:rsid w:val="00DB1EF4"/>
    <w:rsid w:val="00DC0486"/>
    <w:rsid w:val="00DE030E"/>
    <w:rsid w:val="00DF0391"/>
    <w:rsid w:val="00DF09F8"/>
    <w:rsid w:val="00DF689B"/>
    <w:rsid w:val="00DF6A42"/>
    <w:rsid w:val="00E10D60"/>
    <w:rsid w:val="00E24C94"/>
    <w:rsid w:val="00E26269"/>
    <w:rsid w:val="00E26F8C"/>
    <w:rsid w:val="00E33974"/>
    <w:rsid w:val="00E40CCC"/>
    <w:rsid w:val="00E44E53"/>
    <w:rsid w:val="00E52DF8"/>
    <w:rsid w:val="00E60064"/>
    <w:rsid w:val="00E618A3"/>
    <w:rsid w:val="00E73F5D"/>
    <w:rsid w:val="00E86CD0"/>
    <w:rsid w:val="00E90401"/>
    <w:rsid w:val="00EA0E22"/>
    <w:rsid w:val="00EA3968"/>
    <w:rsid w:val="00EA79A1"/>
    <w:rsid w:val="00EC7AB2"/>
    <w:rsid w:val="00EE19C5"/>
    <w:rsid w:val="00EF29F0"/>
    <w:rsid w:val="00F012F4"/>
    <w:rsid w:val="00F10F9F"/>
    <w:rsid w:val="00F1323E"/>
    <w:rsid w:val="00F16F4A"/>
    <w:rsid w:val="00F51820"/>
    <w:rsid w:val="00F55842"/>
    <w:rsid w:val="00F57EF8"/>
    <w:rsid w:val="00F77772"/>
    <w:rsid w:val="00F86200"/>
    <w:rsid w:val="00F91E3A"/>
    <w:rsid w:val="00F932A6"/>
    <w:rsid w:val="00F949DD"/>
    <w:rsid w:val="00FA125A"/>
    <w:rsid w:val="00FB4020"/>
    <w:rsid w:val="00FD3BB5"/>
    <w:rsid w:val="00FE00F5"/>
    <w:rsid w:val="00FF6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5E40"/>
  <w15:chartTrackingRefBased/>
  <w15:docId w15:val="{336D6E42-8486-443F-8C9B-E983D5E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2F51"/>
    <w:rPr>
      <w:b/>
      <w:bCs/>
    </w:rPr>
  </w:style>
  <w:style w:type="character" w:styleId="Hyperlink">
    <w:name w:val="Hyperlink"/>
    <w:basedOn w:val="Absatz-Standardschriftart"/>
    <w:uiPriority w:val="99"/>
    <w:unhideWhenUsed/>
    <w:rsid w:val="000F64D3"/>
    <w:rPr>
      <w:color w:val="0563C1" w:themeColor="hyperlink"/>
      <w:u w:val="single"/>
    </w:rPr>
  </w:style>
  <w:style w:type="character" w:customStyle="1" w:styleId="NichtaufgelsteErwhnung1">
    <w:name w:val="Nicht aufgelöste Erwähnung1"/>
    <w:basedOn w:val="Absatz-Standardschriftart"/>
    <w:uiPriority w:val="99"/>
    <w:semiHidden/>
    <w:unhideWhenUsed/>
    <w:rsid w:val="000F64D3"/>
    <w:rPr>
      <w:color w:val="808080"/>
      <w:shd w:val="clear" w:color="auto" w:fill="E6E6E6"/>
    </w:rPr>
  </w:style>
  <w:style w:type="paragraph" w:styleId="Kopfzeile">
    <w:name w:val="header"/>
    <w:basedOn w:val="Standard"/>
    <w:link w:val="KopfzeileZchn"/>
    <w:uiPriority w:val="99"/>
    <w:unhideWhenUsed/>
    <w:rsid w:val="0059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323"/>
  </w:style>
  <w:style w:type="paragraph" w:styleId="Fuzeile">
    <w:name w:val="footer"/>
    <w:basedOn w:val="Standard"/>
    <w:link w:val="FuzeileZchn"/>
    <w:uiPriority w:val="99"/>
    <w:unhideWhenUsed/>
    <w:rsid w:val="0059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323"/>
  </w:style>
  <w:style w:type="paragraph" w:styleId="Sprechblasentext">
    <w:name w:val="Balloon Text"/>
    <w:basedOn w:val="Standard"/>
    <w:link w:val="SprechblasentextZchn"/>
    <w:uiPriority w:val="99"/>
    <w:semiHidden/>
    <w:unhideWhenUsed/>
    <w:rsid w:val="00763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536"/>
    <w:rPr>
      <w:rFonts w:ascii="Segoe UI" w:hAnsi="Segoe UI" w:cs="Segoe UI"/>
      <w:sz w:val="18"/>
      <w:szCs w:val="18"/>
    </w:rPr>
  </w:style>
  <w:style w:type="character" w:styleId="Kommentarzeichen">
    <w:name w:val="annotation reference"/>
    <w:basedOn w:val="Absatz-Standardschriftart"/>
    <w:uiPriority w:val="99"/>
    <w:semiHidden/>
    <w:unhideWhenUsed/>
    <w:rsid w:val="00D262C6"/>
    <w:rPr>
      <w:sz w:val="16"/>
      <w:szCs w:val="16"/>
    </w:rPr>
  </w:style>
  <w:style w:type="paragraph" w:styleId="Kommentartext">
    <w:name w:val="annotation text"/>
    <w:basedOn w:val="Standard"/>
    <w:link w:val="KommentartextZchn"/>
    <w:uiPriority w:val="99"/>
    <w:semiHidden/>
    <w:unhideWhenUsed/>
    <w:rsid w:val="00D262C6"/>
    <w:pPr>
      <w:spacing w:line="240" w:lineRule="auto"/>
    </w:pPr>
    <w:rPr>
      <w:szCs w:val="20"/>
    </w:rPr>
  </w:style>
  <w:style w:type="character" w:customStyle="1" w:styleId="KommentartextZchn">
    <w:name w:val="Kommentartext Zchn"/>
    <w:basedOn w:val="Absatz-Standardschriftart"/>
    <w:link w:val="Kommentartext"/>
    <w:uiPriority w:val="99"/>
    <w:semiHidden/>
    <w:rsid w:val="00D262C6"/>
    <w:rPr>
      <w:szCs w:val="20"/>
    </w:rPr>
  </w:style>
  <w:style w:type="paragraph" w:styleId="Kommentarthema">
    <w:name w:val="annotation subject"/>
    <w:basedOn w:val="Kommentartext"/>
    <w:next w:val="Kommentartext"/>
    <w:link w:val="KommentarthemaZchn"/>
    <w:uiPriority w:val="99"/>
    <w:semiHidden/>
    <w:unhideWhenUsed/>
    <w:rsid w:val="00D262C6"/>
    <w:rPr>
      <w:b/>
      <w:bCs/>
    </w:rPr>
  </w:style>
  <w:style w:type="character" w:customStyle="1" w:styleId="KommentarthemaZchn">
    <w:name w:val="Kommentarthema Zchn"/>
    <w:basedOn w:val="KommentartextZchn"/>
    <w:link w:val="Kommentarthema"/>
    <w:uiPriority w:val="99"/>
    <w:semiHidden/>
    <w:rsid w:val="00D262C6"/>
    <w:rPr>
      <w:b/>
      <w:bCs/>
      <w:szCs w:val="20"/>
    </w:rPr>
  </w:style>
  <w:style w:type="paragraph" w:styleId="Listenabsatz">
    <w:name w:val="List Paragraph"/>
    <w:basedOn w:val="Standard"/>
    <w:uiPriority w:val="34"/>
    <w:qFormat/>
    <w:rsid w:val="00390D35"/>
    <w:pPr>
      <w:ind w:left="720"/>
      <w:contextualSpacing/>
    </w:pPr>
  </w:style>
  <w:style w:type="character" w:styleId="NichtaufgelsteErwhnung">
    <w:name w:val="Unresolved Mention"/>
    <w:basedOn w:val="Absatz-Standardschriftart"/>
    <w:uiPriority w:val="99"/>
    <w:semiHidden/>
    <w:unhideWhenUsed/>
    <w:rsid w:val="006B037A"/>
    <w:rPr>
      <w:color w:val="605E5C"/>
      <w:shd w:val="clear" w:color="auto" w:fill="E1DFDD"/>
    </w:rPr>
  </w:style>
  <w:style w:type="paragraph" w:styleId="HTMLVorformatiert">
    <w:name w:val="HTML Preformatted"/>
    <w:basedOn w:val="Standard"/>
    <w:link w:val="HTMLVorformatiertZchn"/>
    <w:uiPriority w:val="99"/>
    <w:semiHidden/>
    <w:unhideWhenUsed/>
    <w:rsid w:val="007A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7A57D5"/>
    <w:rPr>
      <w:rFonts w:ascii="Courier New" w:eastAsia="Times New Roman" w:hAnsi="Courier New" w:cs="Courier New"/>
      <w:szCs w:val="20"/>
      <w:lang w:eastAsia="de-DE"/>
    </w:rPr>
  </w:style>
  <w:style w:type="paragraph" w:styleId="StandardWeb">
    <w:name w:val="Normal (Web)"/>
    <w:basedOn w:val="Standard"/>
    <w:uiPriority w:val="99"/>
    <w:semiHidden/>
    <w:unhideWhenUsed/>
    <w:rsid w:val="005724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2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78666">
      <w:bodyDiv w:val="1"/>
      <w:marLeft w:val="0"/>
      <w:marRight w:val="0"/>
      <w:marTop w:val="0"/>
      <w:marBottom w:val="0"/>
      <w:divBdr>
        <w:top w:val="none" w:sz="0" w:space="0" w:color="auto"/>
        <w:left w:val="none" w:sz="0" w:space="0" w:color="auto"/>
        <w:bottom w:val="none" w:sz="0" w:space="0" w:color="auto"/>
        <w:right w:val="none" w:sz="0" w:space="0" w:color="auto"/>
      </w:divBdr>
    </w:div>
    <w:div w:id="19237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ipp@optigru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Nipp</dc:creator>
  <cp:keywords/>
  <dc:description/>
  <cp:lastModifiedBy>Ilona Nipp</cp:lastModifiedBy>
  <cp:revision>10</cp:revision>
  <cp:lastPrinted>2020-07-16T09:25:00Z</cp:lastPrinted>
  <dcterms:created xsi:type="dcterms:W3CDTF">2021-03-12T09:25:00Z</dcterms:created>
  <dcterms:modified xsi:type="dcterms:W3CDTF">2021-03-19T08:31:00Z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D-18-279930</vt:lpwstr>
  </property>
</Properties>
</file>